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00D" w:rsidRDefault="007E7F39" w:rsidP="00CB100D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F39">
        <w:rPr>
          <w:rFonts w:ascii="Times New Roman" w:hAnsi="Times New Roman" w:cs="Times New Roman"/>
          <w:sz w:val="28"/>
          <w:szCs w:val="28"/>
        </w:rPr>
        <w:object w:dxaOrig="898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30.75pt" o:ole="">
            <v:imagedata r:id="rId4" o:title=""/>
          </v:shape>
          <o:OLEObject Type="Embed" ProgID="AcroExch.Document.DC" ShapeID="_x0000_i1025" DrawAspect="Content" ObjectID="_1629874800" r:id="rId5"/>
        </w:object>
      </w:r>
    </w:p>
    <w:p w:rsidR="007E7F39" w:rsidRDefault="007E7F39" w:rsidP="00CB10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F39" w:rsidRDefault="007E7F39" w:rsidP="00CB10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F39" w:rsidRDefault="007E7F39" w:rsidP="00CB10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00D" w:rsidRDefault="00CB100D" w:rsidP="00CB10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00D" w:rsidRDefault="00CB100D" w:rsidP="00CB10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00D" w:rsidRDefault="00CB100D" w:rsidP="00CB10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00D" w:rsidRDefault="00CB100D" w:rsidP="00CB10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00D" w:rsidRPr="00CB100D" w:rsidRDefault="00CB100D" w:rsidP="00CB100D">
      <w:pPr>
        <w:pStyle w:val="a4"/>
        <w:rPr>
          <w:rStyle w:val="2"/>
          <w:rFonts w:eastAsia="Arial Unicode MS"/>
          <w:sz w:val="28"/>
          <w:szCs w:val="28"/>
        </w:rPr>
      </w:pPr>
      <w:r w:rsidRPr="00CB100D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W w:w="10513" w:type="dxa"/>
        <w:tblInd w:w="-93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64"/>
        <w:gridCol w:w="8890"/>
        <w:gridCol w:w="759"/>
      </w:tblGrid>
      <w:tr w:rsidR="00CB100D" w:rsidRPr="00CB100D" w:rsidTr="00CB100D">
        <w:trPr>
          <w:gridAfter w:val="1"/>
          <w:wAfter w:w="759" w:type="dxa"/>
          <w:trHeight w:hRule="exact" w:val="313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"/>
                <w:rFonts w:eastAsia="Arial Unicode MS"/>
                <w:sz w:val="28"/>
                <w:szCs w:val="28"/>
              </w:rPr>
            </w:pPr>
            <w:r w:rsidRPr="00CB100D">
              <w:rPr>
                <w:rStyle w:val="2"/>
                <w:rFonts w:eastAsia="Arial Unicode MS"/>
                <w:sz w:val="28"/>
                <w:szCs w:val="28"/>
              </w:rPr>
              <w:t>№</w:t>
            </w:r>
            <w:proofErr w:type="spellStart"/>
            <w:proofErr w:type="gramStart"/>
            <w:r w:rsidRPr="00CB100D">
              <w:rPr>
                <w:rStyle w:val="2"/>
                <w:rFonts w:eastAsia="Arial Unicode MS"/>
                <w:sz w:val="28"/>
                <w:szCs w:val="28"/>
              </w:rPr>
              <w:t>п</w:t>
            </w:r>
            <w:proofErr w:type="spellEnd"/>
            <w:proofErr w:type="gramEnd"/>
            <w:r w:rsidRPr="00CB100D">
              <w:rPr>
                <w:rStyle w:val="2"/>
                <w:rFonts w:eastAsia="Arial Unicode MS"/>
                <w:sz w:val="28"/>
                <w:szCs w:val="28"/>
              </w:rPr>
              <w:t>/</w:t>
            </w:r>
            <w:proofErr w:type="spellStart"/>
            <w:r w:rsidRPr="00CB100D">
              <w:rPr>
                <w:rStyle w:val="2"/>
                <w:rFonts w:eastAsia="Arial Unicode MS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"/>
                <w:rFonts w:eastAsia="Arial Unicode MS"/>
                <w:sz w:val="28"/>
                <w:szCs w:val="28"/>
              </w:rPr>
            </w:pPr>
            <w:r w:rsidRPr="00CB100D">
              <w:rPr>
                <w:rStyle w:val="2"/>
                <w:rFonts w:eastAsia="Arial Unicode MS"/>
                <w:sz w:val="28"/>
                <w:szCs w:val="28"/>
              </w:rPr>
              <w:t>Название раздела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308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Введение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302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"/>
                <w:rFonts w:eastAsia="Arial Unicode MS"/>
                <w:sz w:val="28"/>
                <w:szCs w:val="28"/>
              </w:rPr>
            </w:pPr>
            <w:r w:rsidRPr="00CB100D">
              <w:rPr>
                <w:rStyle w:val="2"/>
                <w:rFonts w:eastAsia="Arial Unicode MS"/>
                <w:sz w:val="28"/>
                <w:szCs w:val="28"/>
              </w:rPr>
              <w:t>I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B100D">
              <w:rPr>
                <w:rStyle w:val="2"/>
                <w:rFonts w:eastAsia="Arial Unicode MS"/>
                <w:sz w:val="28"/>
                <w:szCs w:val="28"/>
              </w:rPr>
              <w:t>Целевой раздел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308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1.1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Пояснительная записка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302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1.2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Цели и задачи реализации Программы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403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1.3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Принципы и подходы к формированию Программы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308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1.4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Характеристики особенностей развития детей раннего и дошкольного возраста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29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1.5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Планируемые результаты как ориентиры освоения Программы (обязательная часть)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302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Целевые ориентиры образования в раннем возрасте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308"/>
        </w:trPr>
        <w:tc>
          <w:tcPr>
            <w:tcW w:w="86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Целевые ориентиры на этапе завершения дошкольного образования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600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1.6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Планируемые результаты освоения Программы, (часть Программы, формируемая участниками образовательных отношений).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595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1.7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Оценивание качества образовательной деятельности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302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"/>
                <w:rFonts w:eastAsia="Arial Unicode MS"/>
                <w:sz w:val="28"/>
                <w:szCs w:val="28"/>
              </w:rPr>
            </w:pPr>
            <w:r w:rsidRPr="00CB100D">
              <w:rPr>
                <w:rStyle w:val="2"/>
                <w:rFonts w:eastAsia="Arial Unicode MS"/>
                <w:sz w:val="28"/>
                <w:szCs w:val="28"/>
              </w:rPr>
              <w:t>II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B100D">
              <w:rPr>
                <w:rStyle w:val="2"/>
                <w:rFonts w:eastAsia="Arial Unicode MS"/>
                <w:sz w:val="28"/>
                <w:szCs w:val="28"/>
              </w:rPr>
              <w:t>Содержательный раздел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635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2.1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Содержание образовательной области «Социально-коммуникативное развитие» (обязательная часть).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892"/>
        </w:trPr>
        <w:tc>
          <w:tcPr>
            <w:tcW w:w="86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Содержание образовательной области «Социально-коммуникативное развитие» (часть Программы, формируемая участниками образовательных отношений).</w:t>
            </w:r>
          </w:p>
        </w:tc>
      </w:tr>
      <w:tr w:rsidR="00CB100D" w:rsidRPr="00CB100D" w:rsidTr="00CB100D">
        <w:trPr>
          <w:gridAfter w:val="1"/>
          <w:wAfter w:w="759" w:type="dxa"/>
          <w:trHeight w:val="875"/>
        </w:trPr>
        <w:tc>
          <w:tcPr>
            <w:tcW w:w="86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-Формы, способы, методы и средства реализации образовательной области «Социально-коммуникативное развитие» с учетом возрастных и индивидуальных особенностей воспитанников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604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2.2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auto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Содержание образовательной области «Познавательное развитие» (обязательная часть).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600"/>
        </w:trPr>
        <w:tc>
          <w:tcPr>
            <w:tcW w:w="86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auto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Содержание образовательной области «Познавательное развитие» (часть Программы, формируемая участниками образовательных отношений).</w:t>
            </w:r>
          </w:p>
        </w:tc>
      </w:tr>
      <w:tr w:rsidR="00CB100D" w:rsidRPr="00CB100D" w:rsidTr="00CB100D">
        <w:trPr>
          <w:gridAfter w:val="1"/>
          <w:wAfter w:w="759" w:type="dxa"/>
          <w:trHeight w:val="892"/>
        </w:trPr>
        <w:tc>
          <w:tcPr>
            <w:tcW w:w="86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auto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-Формы, способы, методы и средства реализации образовательной области «Познавательное развитие» с учетом возрастных и индивидуальных особенностей воспитанников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399"/>
        </w:trPr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2.3</w:t>
            </w:r>
          </w:p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Содержание образовательной области «Речевое развитие» (обязательная часть).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675"/>
        </w:trPr>
        <w:tc>
          <w:tcPr>
            <w:tcW w:w="86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Содержание образовательной области «Речевое развитие» (часть Программы, формируемая участниками образовательных отношений).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897"/>
        </w:trPr>
        <w:tc>
          <w:tcPr>
            <w:tcW w:w="86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-Формы, способы, методы и средства реализации с учетом возрастных и индивидуальных особенностей воспитанников образовательной области «Речевое развитие»</w:t>
            </w:r>
          </w:p>
        </w:tc>
      </w:tr>
      <w:tr w:rsidR="00CB100D" w:rsidRPr="00CB100D" w:rsidTr="00CB100D">
        <w:trPr>
          <w:gridAfter w:val="1"/>
          <w:wAfter w:w="759" w:type="dxa"/>
          <w:trHeight w:hRule="exact" w:val="96"/>
        </w:trPr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2.4</w:t>
            </w:r>
          </w:p>
        </w:tc>
        <w:tc>
          <w:tcPr>
            <w:tcW w:w="8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</w:p>
        </w:tc>
      </w:tr>
      <w:tr w:rsidR="00CB100D" w:rsidRPr="00CB100D" w:rsidTr="00CB100D">
        <w:trPr>
          <w:trHeight w:hRule="exact" w:val="751"/>
        </w:trPr>
        <w:tc>
          <w:tcPr>
            <w:tcW w:w="86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</w:p>
        </w:tc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Содержание образовательной области «Художественно-эстетическое развитие» (обязательная часть)</w:t>
            </w:r>
          </w:p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</w:p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</w:p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</w:p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</w:p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00D" w:rsidRPr="00CB100D" w:rsidTr="00CB100D">
        <w:trPr>
          <w:trHeight w:hRule="exact" w:val="655"/>
        </w:trPr>
        <w:tc>
          <w:tcPr>
            <w:tcW w:w="86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</w:p>
        </w:tc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Содержание образовательной области «Художественно-эстетическое развитие» (часть Программы, формируемая участниками образовательных отношений).</w:t>
            </w:r>
          </w:p>
        </w:tc>
      </w:tr>
      <w:tr w:rsidR="00CB100D" w:rsidRPr="00CB100D" w:rsidTr="00CB100D">
        <w:trPr>
          <w:trHeight w:hRule="exact" w:val="991"/>
        </w:trPr>
        <w:tc>
          <w:tcPr>
            <w:tcW w:w="86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</w:p>
        </w:tc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-Формы, способы, методы и средства реализации образовательной области «Художественно-эстетическое развитие» с учетом возрастных и индивидуальных особенностей воспитанников</w:t>
            </w:r>
          </w:p>
        </w:tc>
      </w:tr>
    </w:tbl>
    <w:p w:rsidR="00CB100D" w:rsidRPr="00CB100D" w:rsidRDefault="00CB100D" w:rsidP="00CB100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B100D" w:rsidRPr="00CB100D" w:rsidRDefault="00CB100D" w:rsidP="00CB100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B100D" w:rsidRPr="00CB100D" w:rsidRDefault="00CB100D" w:rsidP="00CB100D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98"/>
        <w:tblW w:w="1116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61"/>
        <w:gridCol w:w="10307"/>
      </w:tblGrid>
      <w:tr w:rsidR="00CB100D" w:rsidRPr="00CB100D" w:rsidTr="00CB100D">
        <w:trPr>
          <w:trHeight w:hRule="exact" w:val="298"/>
        </w:trPr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2.5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Содержание образовательной области «Физическое развитие» (обязательная часть).</w:t>
            </w:r>
          </w:p>
        </w:tc>
      </w:tr>
      <w:tr w:rsidR="00CB100D" w:rsidRPr="00CB100D" w:rsidTr="00CB100D">
        <w:trPr>
          <w:trHeight w:hRule="exact" w:val="710"/>
        </w:trPr>
        <w:tc>
          <w:tcPr>
            <w:tcW w:w="86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Содержание образовательной области «Физическое развитие» (часть Программы, формируемая участниками образовательных отношений).</w:t>
            </w:r>
          </w:p>
        </w:tc>
      </w:tr>
      <w:tr w:rsidR="00CB100D" w:rsidRPr="00CB100D" w:rsidTr="00CB100D">
        <w:trPr>
          <w:trHeight w:val="686"/>
        </w:trPr>
        <w:tc>
          <w:tcPr>
            <w:tcW w:w="86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-Формы, способы, методы и средства реализации образовательной области «Физическое развитие</w:t>
            </w:r>
            <w:proofErr w:type="gramStart"/>
            <w:r w:rsidRPr="00CB100D">
              <w:rPr>
                <w:rStyle w:val="20"/>
                <w:rFonts w:eastAsia="Arial Unicode MS"/>
                <w:sz w:val="28"/>
                <w:szCs w:val="28"/>
              </w:rPr>
              <w:t>»с</w:t>
            </w:r>
            <w:proofErr w:type="gramEnd"/>
            <w:r w:rsidRPr="00CB100D">
              <w:rPr>
                <w:rStyle w:val="20"/>
                <w:rFonts w:eastAsia="Arial Unicode MS"/>
                <w:sz w:val="28"/>
                <w:szCs w:val="28"/>
              </w:rPr>
              <w:t xml:space="preserve"> учетом возрастных и индивидуальных особенностей воспитанников</w:t>
            </w:r>
          </w:p>
        </w:tc>
      </w:tr>
      <w:tr w:rsidR="00CB100D" w:rsidRPr="00CB100D" w:rsidTr="00CB100D">
        <w:trPr>
          <w:trHeight w:hRule="exact" w:val="42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2.6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Особенности образовательной деятельности разных видов и культурных практик</w:t>
            </w:r>
          </w:p>
        </w:tc>
      </w:tr>
      <w:tr w:rsidR="00CB100D" w:rsidRPr="00CB100D" w:rsidTr="00CB100D">
        <w:trPr>
          <w:trHeight w:hRule="exact" w:val="288"/>
        </w:trPr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Система оздоровительной работы в ДОУ</w:t>
            </w:r>
          </w:p>
        </w:tc>
      </w:tr>
      <w:tr w:rsidR="00CB100D" w:rsidRPr="00CB100D" w:rsidTr="00CB100D">
        <w:trPr>
          <w:trHeight w:hRule="exact" w:val="288"/>
        </w:trPr>
        <w:tc>
          <w:tcPr>
            <w:tcW w:w="86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Региональные особенности</w:t>
            </w:r>
          </w:p>
        </w:tc>
      </w:tr>
      <w:tr w:rsidR="00CB100D" w:rsidRPr="00CB100D" w:rsidTr="00CB100D">
        <w:trPr>
          <w:trHeight w:hRule="exact" w:val="999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2.7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Проектирование образовательного процесса в соответствии с контингентом воспитанников, их индивидуальными и возрастными особенностями, состоянием здоровья</w:t>
            </w:r>
          </w:p>
        </w:tc>
      </w:tr>
      <w:tr w:rsidR="00CB100D" w:rsidRPr="00CB100D" w:rsidTr="00CB100D">
        <w:trPr>
          <w:trHeight w:hRule="exact" w:val="288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2.8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Способы и направления поддержки детской инициативы</w:t>
            </w:r>
          </w:p>
        </w:tc>
      </w:tr>
      <w:tr w:rsidR="00CB100D" w:rsidRPr="00CB100D" w:rsidTr="00CB100D">
        <w:trPr>
          <w:trHeight w:hRule="exact" w:val="330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2.9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Особенности взаимодействия педагогического коллектива с семьями воспитанников</w:t>
            </w:r>
          </w:p>
        </w:tc>
      </w:tr>
      <w:tr w:rsidR="00CB100D" w:rsidRPr="00CB100D" w:rsidTr="00CB100D">
        <w:trPr>
          <w:trHeight w:hRule="exact" w:val="283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2.10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Преемственность со школой</w:t>
            </w:r>
          </w:p>
        </w:tc>
      </w:tr>
      <w:tr w:rsidR="00CB100D" w:rsidRPr="00CB100D" w:rsidTr="00CB100D">
        <w:trPr>
          <w:trHeight w:hRule="exact" w:val="288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2.11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Взаимодействие с социумом</w:t>
            </w:r>
          </w:p>
        </w:tc>
      </w:tr>
      <w:tr w:rsidR="00CB100D" w:rsidRPr="00CB100D" w:rsidTr="00CB100D">
        <w:trPr>
          <w:trHeight w:hRule="exact" w:val="288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2.12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Взаимодействие взрослых с детьми</w:t>
            </w:r>
          </w:p>
        </w:tc>
      </w:tr>
      <w:tr w:rsidR="00CB100D" w:rsidRPr="00CB100D" w:rsidTr="00CB100D">
        <w:trPr>
          <w:trHeight w:hRule="exact" w:val="288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"/>
                <w:rFonts w:eastAsia="Arial Unicode MS"/>
                <w:sz w:val="28"/>
                <w:szCs w:val="28"/>
              </w:rPr>
            </w:pPr>
            <w:proofErr w:type="gramStart"/>
            <w:r w:rsidRPr="00CB100D">
              <w:rPr>
                <w:rStyle w:val="2"/>
                <w:rFonts w:eastAsia="Arial Unicode MS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B100D">
              <w:rPr>
                <w:rStyle w:val="2"/>
                <w:rFonts w:eastAsia="Arial Unicode MS"/>
                <w:sz w:val="28"/>
                <w:szCs w:val="28"/>
              </w:rPr>
              <w:t>Организационный раздел</w:t>
            </w:r>
          </w:p>
        </w:tc>
      </w:tr>
      <w:tr w:rsidR="00CB100D" w:rsidRPr="00CB100D" w:rsidTr="00CB100D">
        <w:trPr>
          <w:trHeight w:hRule="exact" w:val="288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"/>
                <w:rFonts w:eastAsia="Arial Unicode MS"/>
                <w:b w:val="0"/>
                <w:sz w:val="28"/>
                <w:szCs w:val="28"/>
              </w:rPr>
            </w:pPr>
            <w:r w:rsidRPr="00CB100D">
              <w:rPr>
                <w:rStyle w:val="2"/>
                <w:rFonts w:eastAsia="Arial Unicode MS"/>
                <w:b w:val="0"/>
                <w:sz w:val="28"/>
                <w:szCs w:val="28"/>
              </w:rPr>
              <w:t xml:space="preserve">3.1. 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"/>
                <w:rFonts w:eastAsia="Arial Unicode MS"/>
                <w:b w:val="0"/>
                <w:sz w:val="28"/>
                <w:szCs w:val="28"/>
              </w:rPr>
            </w:pPr>
            <w:r w:rsidRPr="00CB100D">
              <w:rPr>
                <w:rStyle w:val="2"/>
                <w:rFonts w:eastAsia="Arial Unicode MS"/>
                <w:b w:val="0"/>
                <w:sz w:val="28"/>
                <w:szCs w:val="28"/>
              </w:rPr>
              <w:t>Психолого-педагогические условия, обеспечивающие развитие ребенка.</w:t>
            </w:r>
          </w:p>
        </w:tc>
      </w:tr>
      <w:tr w:rsidR="00CB100D" w:rsidRPr="00CB100D" w:rsidTr="00CB100D">
        <w:trPr>
          <w:trHeight w:hRule="exact" w:val="339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3.2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Материально-техническое обеспечение программы.</w:t>
            </w:r>
          </w:p>
        </w:tc>
      </w:tr>
      <w:tr w:rsidR="00CB100D" w:rsidRPr="00CB100D" w:rsidTr="00CB100D">
        <w:trPr>
          <w:trHeight w:hRule="exact" w:val="339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3.3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Планирование образовательной деятельности</w:t>
            </w:r>
          </w:p>
        </w:tc>
      </w:tr>
      <w:tr w:rsidR="00CB100D" w:rsidRPr="00CB100D" w:rsidTr="00CB100D">
        <w:trPr>
          <w:trHeight w:hRule="exact" w:val="283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3.4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Режим дня</w:t>
            </w:r>
          </w:p>
        </w:tc>
      </w:tr>
      <w:tr w:rsidR="00CB100D" w:rsidRPr="00CB100D" w:rsidTr="00CB100D">
        <w:trPr>
          <w:trHeight w:hRule="exact" w:val="352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3.5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Организация развивающей предметно-пространственной среды</w:t>
            </w:r>
          </w:p>
        </w:tc>
      </w:tr>
      <w:tr w:rsidR="00CB100D" w:rsidRPr="00CB100D" w:rsidTr="00CB100D">
        <w:trPr>
          <w:trHeight w:hRule="exact" w:val="288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3.6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Кадровые условия реализации программы</w:t>
            </w:r>
          </w:p>
        </w:tc>
      </w:tr>
      <w:tr w:rsidR="00CB100D" w:rsidRPr="00CB100D" w:rsidTr="00CB100D">
        <w:trPr>
          <w:trHeight w:val="25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3.7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Финансовые условия реализации программы</w:t>
            </w:r>
          </w:p>
        </w:tc>
      </w:tr>
      <w:tr w:rsidR="00CB100D" w:rsidRPr="00CB100D" w:rsidTr="00CB100D">
        <w:trPr>
          <w:trHeight w:hRule="exact" w:val="298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3.8</w:t>
            </w:r>
          </w:p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Методическое обеспечение Программы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Перспективы работы по совершенствованию и развитию содержания программы</w:t>
            </w:r>
          </w:p>
        </w:tc>
      </w:tr>
      <w:tr w:rsidR="00CB100D" w:rsidRPr="00CB100D" w:rsidTr="00CB100D">
        <w:trPr>
          <w:trHeight w:hRule="exact" w:val="298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3.9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Перечень нормативных и нормативно-методических документов</w:t>
            </w:r>
          </w:p>
        </w:tc>
      </w:tr>
      <w:tr w:rsidR="00CB100D" w:rsidRPr="00CB100D" w:rsidTr="00CB100D">
        <w:trPr>
          <w:trHeight w:hRule="exact" w:val="298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3.10</w:t>
            </w:r>
          </w:p>
        </w:tc>
        <w:tc>
          <w:tcPr>
            <w:tcW w:w="10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bottom"/>
          </w:tcPr>
          <w:p w:rsidR="00CB100D" w:rsidRPr="00CB100D" w:rsidRDefault="00CB100D" w:rsidP="00CB100D">
            <w:pPr>
              <w:pStyle w:val="a4"/>
              <w:rPr>
                <w:rStyle w:val="20"/>
                <w:rFonts w:eastAsia="Arial Unicode MS"/>
                <w:sz w:val="28"/>
                <w:szCs w:val="28"/>
              </w:rPr>
            </w:pPr>
            <w:r w:rsidRPr="00CB100D">
              <w:rPr>
                <w:rStyle w:val="20"/>
                <w:rFonts w:eastAsia="Arial Unicode MS"/>
                <w:sz w:val="28"/>
                <w:szCs w:val="28"/>
              </w:rPr>
              <w:t>Методическое обеспечение программы</w:t>
            </w:r>
          </w:p>
        </w:tc>
      </w:tr>
    </w:tbl>
    <w:p w:rsidR="00CB100D" w:rsidRDefault="00CB100D" w:rsidP="00CB100D">
      <w:pPr>
        <w:jc w:val="center"/>
      </w:pPr>
    </w:p>
    <w:p w:rsidR="00CB100D" w:rsidRDefault="00CB100D" w:rsidP="00CB100D">
      <w:pPr>
        <w:jc w:val="center"/>
      </w:pPr>
    </w:p>
    <w:p w:rsidR="00CB100D" w:rsidRDefault="00CB100D" w:rsidP="00CB100D">
      <w:pPr>
        <w:jc w:val="center"/>
      </w:pPr>
    </w:p>
    <w:p w:rsidR="00CB100D" w:rsidRDefault="00CB100D" w:rsidP="00CB100D">
      <w:pPr>
        <w:jc w:val="center"/>
      </w:pPr>
    </w:p>
    <w:p w:rsidR="00CB100D" w:rsidRDefault="00CB100D" w:rsidP="00CB100D">
      <w:pPr>
        <w:jc w:val="center"/>
      </w:pPr>
    </w:p>
    <w:p w:rsidR="00CB100D" w:rsidRDefault="00CB100D" w:rsidP="00CB100D">
      <w:pPr>
        <w:jc w:val="center"/>
      </w:pPr>
    </w:p>
    <w:p w:rsidR="00CB100D" w:rsidRPr="00CB100D" w:rsidRDefault="00CB100D" w:rsidP="00CB100D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CB100D" w:rsidRPr="00CB100D" w:rsidSect="008C5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00D"/>
    <w:rsid w:val="00240CC6"/>
    <w:rsid w:val="00300282"/>
    <w:rsid w:val="00527F56"/>
    <w:rsid w:val="007E7F39"/>
    <w:rsid w:val="008C564A"/>
    <w:rsid w:val="00CB1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0D"/>
    <w:pPr>
      <w:widowControl w:val="0"/>
      <w:suppressAutoHyphens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 + Полужирный"/>
    <w:basedOn w:val="a0"/>
    <w:rsid w:val="00CB100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eastAsia="ru-RU" w:bidi="ru-RU"/>
    </w:rPr>
  </w:style>
  <w:style w:type="character" w:customStyle="1" w:styleId="20">
    <w:name w:val="Основной текст (2)"/>
    <w:basedOn w:val="a0"/>
    <w:rsid w:val="00CB100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eastAsia="ru-RU" w:bidi="ru-RU"/>
    </w:rPr>
  </w:style>
  <w:style w:type="paragraph" w:customStyle="1" w:styleId="a3">
    <w:name w:val="Подпись к таблице"/>
    <w:basedOn w:val="a"/>
    <w:rsid w:val="00CB100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ar-SA" w:bidi="ar-SA"/>
    </w:rPr>
  </w:style>
  <w:style w:type="paragraph" w:styleId="a4">
    <w:name w:val="No Spacing"/>
    <w:uiPriority w:val="1"/>
    <w:qFormat/>
    <w:rsid w:val="00CB100D"/>
    <w:pPr>
      <w:widowControl w:val="0"/>
      <w:suppressAutoHyphens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565</Words>
  <Characters>3223</Characters>
  <Application>Microsoft Office Word</Application>
  <DocSecurity>0</DocSecurity>
  <Lines>26</Lines>
  <Paragraphs>7</Paragraphs>
  <ScaleCrop>false</ScaleCrop>
  <Company/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 Windows</cp:lastModifiedBy>
  <cp:revision>5</cp:revision>
  <cp:lastPrinted>2016-06-10T14:35:00Z</cp:lastPrinted>
  <dcterms:created xsi:type="dcterms:W3CDTF">2016-06-01T11:47:00Z</dcterms:created>
  <dcterms:modified xsi:type="dcterms:W3CDTF">2019-09-13T07:14:00Z</dcterms:modified>
</cp:coreProperties>
</file>